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2C51D" w14:textId="120A84D6" w:rsidR="00AE3F3C" w:rsidRDefault="00AE3F3C" w:rsidP="00AE3F3C">
      <w:pPr>
        <w:pStyle w:val="Standard"/>
        <w:tabs>
          <w:tab w:val="left" w:pos="650"/>
          <w:tab w:val="left" w:pos="1370"/>
          <w:tab w:val="left" w:pos="2078"/>
          <w:tab w:val="left" w:pos="2786"/>
          <w:tab w:val="left" w:pos="3494"/>
          <w:tab w:val="left" w:pos="4202"/>
          <w:tab w:val="left" w:pos="4910"/>
          <w:tab w:val="left" w:pos="5618"/>
          <w:tab w:val="left" w:pos="6326"/>
          <w:tab w:val="left" w:pos="7034"/>
          <w:tab w:val="left" w:pos="7742"/>
          <w:tab w:val="left" w:pos="8450"/>
          <w:tab w:val="left" w:pos="9158"/>
        </w:tabs>
        <w:spacing w:after="120"/>
        <w:ind w:left="-29"/>
        <w:jc w:val="center"/>
        <w:rPr>
          <w:b/>
          <w:sz w:val="22"/>
          <w:szCs w:val="22"/>
          <w:lang w:val="sr-Cyrl-RS"/>
        </w:rPr>
      </w:pPr>
      <w:r w:rsidRPr="00A93719">
        <w:rPr>
          <w:b/>
          <w:sz w:val="22"/>
          <w:szCs w:val="22"/>
        </w:rPr>
        <w:t xml:space="preserve">ОБРАЗАЦ </w:t>
      </w:r>
      <w:r w:rsidR="001545A2">
        <w:rPr>
          <w:b/>
          <w:sz w:val="22"/>
          <w:szCs w:val="22"/>
        </w:rPr>
        <w:t xml:space="preserve"> </w:t>
      </w:r>
      <w:r w:rsidR="001545A2" w:rsidRPr="00C947A1">
        <w:rPr>
          <w:b/>
          <w:sz w:val="22"/>
          <w:szCs w:val="22"/>
          <w:lang w:val="sr-Cyrl-RS"/>
        </w:rPr>
        <w:t xml:space="preserve">СТРУКТУРЕ </w:t>
      </w:r>
      <w:r w:rsidR="001C5D46" w:rsidRPr="00C947A1">
        <w:rPr>
          <w:b/>
          <w:sz w:val="22"/>
          <w:szCs w:val="22"/>
          <w:lang w:val="sr-Cyrl-RS"/>
        </w:rPr>
        <w:t>ПОНУ</w:t>
      </w:r>
      <w:r w:rsidR="00CB199D" w:rsidRPr="00C947A1">
        <w:rPr>
          <w:b/>
          <w:sz w:val="22"/>
          <w:szCs w:val="22"/>
          <w:lang w:val="sr-Cyrl-RS"/>
        </w:rPr>
        <w:t>ЂЕНЕ ЦЕНЕ</w:t>
      </w:r>
      <w:r w:rsidR="00CB199D">
        <w:rPr>
          <w:b/>
          <w:sz w:val="22"/>
          <w:szCs w:val="22"/>
          <w:lang w:val="sr-Cyrl-RS"/>
        </w:rPr>
        <w:t xml:space="preserve"> </w:t>
      </w:r>
      <w:r>
        <w:rPr>
          <w:b/>
          <w:sz w:val="22"/>
          <w:szCs w:val="22"/>
          <w:lang w:val="sr-Cyrl-RS"/>
        </w:rPr>
        <w:t xml:space="preserve"> СА УПУТСТВОМ КАКО ДА СЕ ПОПУНИ</w:t>
      </w:r>
    </w:p>
    <w:p w14:paraId="06C5FE8E" w14:textId="74C34B19" w:rsidR="00880A97" w:rsidRDefault="00880A97" w:rsidP="00AE3F3C">
      <w:pPr>
        <w:pStyle w:val="Standard"/>
        <w:tabs>
          <w:tab w:val="left" w:pos="650"/>
          <w:tab w:val="left" w:pos="1370"/>
          <w:tab w:val="left" w:pos="2078"/>
          <w:tab w:val="left" w:pos="2786"/>
          <w:tab w:val="left" w:pos="3494"/>
          <w:tab w:val="left" w:pos="4202"/>
          <w:tab w:val="left" w:pos="4910"/>
          <w:tab w:val="left" w:pos="5618"/>
          <w:tab w:val="left" w:pos="6326"/>
          <w:tab w:val="left" w:pos="7034"/>
          <w:tab w:val="left" w:pos="7742"/>
          <w:tab w:val="left" w:pos="8450"/>
          <w:tab w:val="left" w:pos="9158"/>
        </w:tabs>
        <w:spacing w:after="120"/>
        <w:ind w:left="-29"/>
        <w:jc w:val="center"/>
        <w:rPr>
          <w:b/>
          <w:sz w:val="22"/>
          <w:szCs w:val="22"/>
          <w:lang w:val="sr-Cyrl-RS"/>
        </w:rPr>
      </w:pPr>
    </w:p>
    <w:p w14:paraId="7F3D19E1" w14:textId="5182F3BA" w:rsidR="00CB199D" w:rsidRDefault="00CB199D" w:rsidP="00AE3F3C">
      <w:pPr>
        <w:pStyle w:val="Standard"/>
        <w:tabs>
          <w:tab w:val="left" w:pos="650"/>
          <w:tab w:val="left" w:pos="1370"/>
          <w:tab w:val="left" w:pos="2078"/>
          <w:tab w:val="left" w:pos="2786"/>
          <w:tab w:val="left" w:pos="3494"/>
          <w:tab w:val="left" w:pos="4202"/>
          <w:tab w:val="left" w:pos="4910"/>
          <w:tab w:val="left" w:pos="5618"/>
          <w:tab w:val="left" w:pos="6326"/>
          <w:tab w:val="left" w:pos="7034"/>
          <w:tab w:val="left" w:pos="7742"/>
          <w:tab w:val="left" w:pos="8450"/>
          <w:tab w:val="left" w:pos="9158"/>
        </w:tabs>
        <w:spacing w:after="120"/>
        <w:ind w:left="-29"/>
        <w:jc w:val="center"/>
        <w:rPr>
          <w:b/>
          <w:bCs/>
          <w:lang w:val="sr-Cyrl-RS"/>
        </w:rPr>
      </w:pPr>
      <w:r>
        <w:rPr>
          <w:b/>
          <w:bCs/>
          <w:lang w:val="sr-Cyrl-RS"/>
        </w:rPr>
        <w:t xml:space="preserve"> За </w:t>
      </w:r>
      <w:r w:rsidRPr="00CB199D">
        <w:rPr>
          <w:b/>
          <w:bCs/>
          <w:lang w:val="sr-Cyrl-RS"/>
        </w:rPr>
        <w:t xml:space="preserve">отворени поступак јавне набавке </w:t>
      </w:r>
      <w:r>
        <w:rPr>
          <w:b/>
          <w:bCs/>
          <w:lang w:val="sr-Cyrl-RS"/>
        </w:rPr>
        <w:t xml:space="preserve"> - </w:t>
      </w:r>
      <w:r w:rsidRPr="00CB199D">
        <w:rPr>
          <w:b/>
          <w:bCs/>
          <w:lang w:val="sr-Cyrl-RS"/>
        </w:rPr>
        <w:t>Избор концесионара за поверавање обављања делатности приградског превоза путника на територији општине Кладово по моделу јавно-приватног партнерства са елементима концесије, референтни бр. 40</w:t>
      </w:r>
      <w:r w:rsidR="00D36DAB">
        <w:rPr>
          <w:b/>
          <w:bCs/>
          <w:lang w:val="sr-Latn-RS"/>
        </w:rPr>
        <w:t>5</w:t>
      </w:r>
      <w:r w:rsidRPr="00CB199D">
        <w:rPr>
          <w:b/>
          <w:bCs/>
          <w:lang w:val="sr-Cyrl-RS"/>
        </w:rPr>
        <w:t>-14/2024-III  :</w:t>
      </w:r>
    </w:p>
    <w:p w14:paraId="1422C6E7" w14:textId="77777777" w:rsidR="00CB199D" w:rsidRDefault="00CB199D" w:rsidP="00AE3F3C">
      <w:pPr>
        <w:pStyle w:val="Standard"/>
        <w:tabs>
          <w:tab w:val="left" w:pos="650"/>
          <w:tab w:val="left" w:pos="1370"/>
          <w:tab w:val="left" w:pos="2078"/>
          <w:tab w:val="left" w:pos="2786"/>
          <w:tab w:val="left" w:pos="3494"/>
          <w:tab w:val="left" w:pos="4202"/>
          <w:tab w:val="left" w:pos="4910"/>
          <w:tab w:val="left" w:pos="5618"/>
          <w:tab w:val="left" w:pos="6326"/>
          <w:tab w:val="left" w:pos="7034"/>
          <w:tab w:val="left" w:pos="7742"/>
          <w:tab w:val="left" w:pos="8450"/>
          <w:tab w:val="left" w:pos="9158"/>
        </w:tabs>
        <w:spacing w:after="120"/>
        <w:ind w:left="-29"/>
        <w:jc w:val="center"/>
        <w:rPr>
          <w:b/>
          <w:bCs/>
          <w:lang w:val="sr-Cyrl-RS"/>
        </w:rPr>
      </w:pPr>
    </w:p>
    <w:tbl>
      <w:tblPr>
        <w:tblW w:w="8846"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559"/>
        <w:gridCol w:w="5162"/>
        <w:gridCol w:w="1405"/>
        <w:gridCol w:w="1720"/>
      </w:tblGrid>
      <w:tr w:rsidR="00AE3F3C" w:rsidRPr="00EB5C9D" w14:paraId="658A8CA0" w14:textId="77777777" w:rsidTr="009B6606">
        <w:trPr>
          <w:trHeight w:val="416"/>
        </w:trPr>
        <w:tc>
          <w:tcPr>
            <w:tcW w:w="559"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2E9182B3" w14:textId="77777777" w:rsidR="00AE3F3C" w:rsidRPr="00EB5C9D" w:rsidRDefault="00AE3F3C" w:rsidP="009B6606">
            <w:pPr>
              <w:widowControl/>
              <w:jc w:val="center"/>
              <w:rPr>
                <w:rFonts w:cs="Times New Roman"/>
                <w:b/>
                <w:bCs/>
                <w:color w:val="000000"/>
                <w:sz w:val="22"/>
                <w:szCs w:val="22"/>
                <w:lang w:val="uz-Cyrl-UZ" w:eastAsia="uz-Cyrl-UZ"/>
              </w:rPr>
            </w:pPr>
            <w:r w:rsidRPr="00EB5C9D">
              <w:rPr>
                <w:rFonts w:cs="Times New Roman"/>
                <w:b/>
                <w:bCs/>
                <w:color w:val="000000"/>
                <w:sz w:val="22"/>
                <w:szCs w:val="22"/>
                <w:lang w:val="uz-Cyrl-UZ" w:eastAsia="uz-Cyrl-UZ"/>
              </w:rPr>
              <w:t>1</w:t>
            </w:r>
          </w:p>
        </w:tc>
        <w:tc>
          <w:tcPr>
            <w:tcW w:w="516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1F4FC8D3" w14:textId="77777777" w:rsidR="00AE3F3C" w:rsidRPr="00EB5C9D" w:rsidRDefault="00AE3F3C" w:rsidP="009B6606">
            <w:pPr>
              <w:widowControl/>
              <w:rPr>
                <w:rFonts w:cs="Times New Roman"/>
                <w:b/>
                <w:bCs/>
                <w:color w:val="000000"/>
                <w:sz w:val="22"/>
                <w:szCs w:val="22"/>
                <w:lang w:val="uz-Cyrl-UZ" w:eastAsia="uz-Cyrl-UZ"/>
              </w:rPr>
            </w:pPr>
            <w:r w:rsidRPr="00EB5C9D">
              <w:rPr>
                <w:rFonts w:cs="Times New Roman"/>
                <w:b/>
                <w:bCs/>
                <w:color w:val="000000"/>
                <w:sz w:val="22"/>
                <w:szCs w:val="22"/>
                <w:lang w:val="uz-Cyrl-UZ" w:eastAsia="uz-Cyrl-UZ"/>
              </w:rPr>
              <w:t xml:space="preserve">Рок важења понуде </w:t>
            </w:r>
            <w:r w:rsidRPr="00EB5C9D">
              <w:rPr>
                <w:rFonts w:cs="Times New Roman"/>
                <w:b/>
                <w:bCs/>
                <w:i/>
                <w:iCs/>
                <w:color w:val="000000"/>
                <w:sz w:val="22"/>
                <w:szCs w:val="22"/>
                <w:lang w:val="uz-Cyrl-UZ" w:eastAsia="uz-Cyrl-UZ"/>
              </w:rPr>
              <w:t>(*најмање 60 дана од дана отварања понуда)</w:t>
            </w:r>
          </w:p>
        </w:tc>
        <w:tc>
          <w:tcPr>
            <w:tcW w:w="1405"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52D7F82E" w14:textId="77777777" w:rsidR="00AE3F3C" w:rsidRPr="00EB5C9D" w:rsidRDefault="00AE3F3C" w:rsidP="009B6606">
            <w:pPr>
              <w:widowControl/>
              <w:jc w:val="center"/>
              <w:rPr>
                <w:rFonts w:cs="Times New Roman"/>
                <w:color w:val="000000"/>
                <w:sz w:val="22"/>
                <w:szCs w:val="22"/>
                <w:lang w:val="uz-Cyrl-UZ" w:eastAsia="uz-Cyrl-UZ"/>
              </w:rPr>
            </w:pPr>
            <w:r w:rsidRPr="00EB5C9D">
              <w:rPr>
                <w:rFonts w:cs="Times New Roman"/>
                <w:color w:val="000000"/>
                <w:sz w:val="22"/>
                <w:szCs w:val="22"/>
                <w:lang w:val="uz-Cyrl-UZ" w:eastAsia="uz-Cyrl-UZ"/>
              </w:rPr>
              <w:t> дана</w:t>
            </w:r>
          </w:p>
        </w:tc>
        <w:tc>
          <w:tcPr>
            <w:tcW w:w="172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98" w:type="dxa"/>
            </w:tcMar>
            <w:vAlign w:val="center"/>
          </w:tcPr>
          <w:p w14:paraId="4258D906" w14:textId="77777777" w:rsidR="00AE3F3C" w:rsidRPr="00EB5C9D" w:rsidRDefault="00AE3F3C" w:rsidP="009B6606">
            <w:pPr>
              <w:widowControl/>
              <w:rPr>
                <w:rFonts w:cs="Times New Roman"/>
                <w:b/>
                <w:bCs/>
                <w:color w:val="000000"/>
                <w:sz w:val="22"/>
                <w:szCs w:val="22"/>
                <w:lang w:val="uz-Cyrl-UZ" w:eastAsia="uz-Cyrl-UZ"/>
              </w:rPr>
            </w:pPr>
            <w:r w:rsidRPr="00EB5C9D">
              <w:rPr>
                <w:rFonts w:cs="Times New Roman"/>
                <w:b/>
                <w:bCs/>
                <w:color w:val="000000"/>
                <w:sz w:val="22"/>
                <w:szCs w:val="22"/>
                <w:lang w:val="uz-Cyrl-UZ" w:eastAsia="uz-Cyrl-UZ"/>
              </w:rPr>
              <w:t> </w:t>
            </w:r>
          </w:p>
        </w:tc>
      </w:tr>
      <w:tr w:rsidR="00AE3F3C" w:rsidRPr="00EB5C9D" w14:paraId="05C0511E" w14:textId="77777777" w:rsidTr="00581F5F">
        <w:trPr>
          <w:trHeight w:val="416"/>
        </w:trPr>
        <w:tc>
          <w:tcPr>
            <w:tcW w:w="559"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F41C0FA" w14:textId="77777777" w:rsidR="00AE3F3C" w:rsidRPr="00EB5C9D" w:rsidRDefault="00AE3F3C" w:rsidP="009B6606">
            <w:pPr>
              <w:widowControl/>
              <w:jc w:val="center"/>
              <w:rPr>
                <w:rFonts w:cs="Times New Roman"/>
                <w:b/>
                <w:bCs/>
                <w:color w:val="000000"/>
                <w:sz w:val="22"/>
                <w:szCs w:val="22"/>
                <w:lang w:val="uz-Cyrl-UZ" w:eastAsia="uz-Cyrl-UZ"/>
              </w:rPr>
            </w:pPr>
            <w:r w:rsidRPr="00EB5C9D">
              <w:rPr>
                <w:rFonts w:cs="Times New Roman"/>
                <w:b/>
                <w:bCs/>
                <w:color w:val="000000"/>
                <w:sz w:val="22"/>
                <w:szCs w:val="22"/>
                <w:lang w:val="uz-Cyrl-UZ" w:eastAsia="uz-Cyrl-UZ"/>
              </w:rPr>
              <w:t>2</w:t>
            </w:r>
          </w:p>
        </w:tc>
        <w:tc>
          <w:tcPr>
            <w:tcW w:w="516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894EB0B" w14:textId="77777777" w:rsidR="00AE3F3C" w:rsidRPr="00EB5C9D" w:rsidRDefault="00AE3F3C" w:rsidP="009B6606">
            <w:pPr>
              <w:widowControl/>
              <w:rPr>
                <w:rFonts w:cs="Times New Roman"/>
                <w:b/>
                <w:bCs/>
                <w:color w:val="000000"/>
                <w:sz w:val="22"/>
                <w:szCs w:val="22"/>
                <w:lang w:val="uz-Cyrl-UZ" w:eastAsia="uz-Cyrl-UZ"/>
              </w:rPr>
            </w:pPr>
            <w:r w:rsidRPr="00EB5C9D">
              <w:rPr>
                <w:rFonts w:cs="Times New Roman"/>
                <w:b/>
                <w:bCs/>
                <w:color w:val="000000"/>
                <w:sz w:val="22"/>
                <w:szCs w:val="22"/>
                <w:lang w:val="uz-Cyrl-UZ" w:eastAsia="uz-Cyrl-UZ"/>
              </w:rPr>
              <w:t>Период трајања уговора</w:t>
            </w:r>
          </w:p>
        </w:tc>
        <w:tc>
          <w:tcPr>
            <w:tcW w:w="1405" w:type="dxa"/>
            <w:tcBorders>
              <w:top w:val="single" w:sz="4" w:space="0" w:color="000001"/>
              <w:left w:val="single" w:sz="4" w:space="0" w:color="000001"/>
              <w:bottom w:val="single" w:sz="4" w:space="0" w:color="auto"/>
              <w:right w:val="single" w:sz="4" w:space="0" w:color="000001"/>
            </w:tcBorders>
            <w:shd w:val="clear" w:color="auto" w:fill="auto"/>
            <w:tcMar>
              <w:left w:w="98" w:type="dxa"/>
            </w:tcMar>
            <w:vAlign w:val="center"/>
          </w:tcPr>
          <w:p w14:paraId="3409F5FD" w14:textId="77777777" w:rsidR="00AE3F3C" w:rsidRPr="00EB5C9D" w:rsidRDefault="00AE3F3C" w:rsidP="009B6606">
            <w:pPr>
              <w:widowControl/>
              <w:jc w:val="center"/>
              <w:rPr>
                <w:rFonts w:cs="Times New Roman"/>
                <w:color w:val="000000"/>
                <w:sz w:val="22"/>
                <w:szCs w:val="22"/>
                <w:lang w:val="uz-Cyrl-UZ" w:eastAsia="uz-Cyrl-UZ"/>
              </w:rPr>
            </w:pPr>
            <w:r w:rsidRPr="00EB5C9D">
              <w:rPr>
                <w:rFonts w:cs="Times New Roman"/>
                <w:color w:val="000000"/>
                <w:sz w:val="22"/>
                <w:szCs w:val="22"/>
                <w:lang w:val="uz-Cyrl-UZ" w:eastAsia="uz-Cyrl-UZ"/>
              </w:rPr>
              <w:t>година</w:t>
            </w:r>
          </w:p>
        </w:tc>
        <w:tc>
          <w:tcPr>
            <w:tcW w:w="1720" w:type="dxa"/>
            <w:tcBorders>
              <w:top w:val="single" w:sz="4" w:space="0" w:color="000001"/>
              <w:left w:val="single" w:sz="4" w:space="0" w:color="000001"/>
              <w:bottom w:val="single" w:sz="4" w:space="0" w:color="auto"/>
              <w:right w:val="single" w:sz="4" w:space="0" w:color="000001"/>
            </w:tcBorders>
            <w:shd w:val="clear" w:color="auto" w:fill="F2F2F2" w:themeFill="background1" w:themeFillShade="F2"/>
            <w:tcMar>
              <w:left w:w="98" w:type="dxa"/>
            </w:tcMar>
            <w:vAlign w:val="center"/>
          </w:tcPr>
          <w:p w14:paraId="7D2EC173" w14:textId="05E174D1" w:rsidR="00AE3F3C" w:rsidRPr="00006F48" w:rsidRDefault="00006F48" w:rsidP="00EF38F8">
            <w:pPr>
              <w:widowControl/>
              <w:jc w:val="center"/>
              <w:rPr>
                <w:rFonts w:cs="Times New Roman"/>
                <w:color w:val="000000"/>
                <w:sz w:val="22"/>
                <w:szCs w:val="22"/>
                <w:lang w:val="sr-Cyrl-RS" w:eastAsia="uz-Cyrl-UZ"/>
              </w:rPr>
            </w:pPr>
            <w:r>
              <w:rPr>
                <w:rFonts w:cs="Times New Roman"/>
                <w:color w:val="000000"/>
                <w:sz w:val="22"/>
                <w:szCs w:val="22"/>
                <w:lang w:val="sr-Cyrl-RS" w:eastAsia="uz-Cyrl-UZ"/>
              </w:rPr>
              <w:t>20</w:t>
            </w:r>
          </w:p>
        </w:tc>
      </w:tr>
      <w:tr w:rsidR="00EB7455" w:rsidRPr="00EB5C9D" w14:paraId="02B3C6D0" w14:textId="77777777" w:rsidTr="00E55678">
        <w:trPr>
          <w:trHeight w:val="416"/>
        </w:trPr>
        <w:tc>
          <w:tcPr>
            <w:tcW w:w="559" w:type="dxa"/>
            <w:tcBorders>
              <w:top w:val="single" w:sz="4" w:space="0" w:color="000001"/>
              <w:left w:val="single" w:sz="4" w:space="0" w:color="000001"/>
              <w:bottom w:val="single" w:sz="4" w:space="0" w:color="000001"/>
              <w:right w:val="single" w:sz="4" w:space="0" w:color="000001"/>
            </w:tcBorders>
            <w:shd w:val="clear" w:color="auto" w:fill="FBE4D5" w:themeFill="accent2" w:themeFillTint="33"/>
            <w:tcMar>
              <w:left w:w="98" w:type="dxa"/>
            </w:tcMar>
            <w:vAlign w:val="center"/>
          </w:tcPr>
          <w:p w14:paraId="3DF49496" w14:textId="77777777" w:rsidR="00EB7455" w:rsidRPr="00EB5C9D" w:rsidRDefault="00EB7455" w:rsidP="009B6606">
            <w:pPr>
              <w:widowControl/>
              <w:jc w:val="center"/>
              <w:rPr>
                <w:rFonts w:cs="Times New Roman"/>
                <w:b/>
                <w:bCs/>
                <w:color w:val="000000"/>
                <w:sz w:val="22"/>
                <w:szCs w:val="22"/>
                <w:lang w:val="uz-Cyrl-UZ" w:eastAsia="uz-Cyrl-UZ"/>
              </w:rPr>
            </w:pPr>
            <w:r w:rsidRPr="00EB5C9D">
              <w:rPr>
                <w:rFonts w:cs="Times New Roman"/>
                <w:b/>
                <w:bCs/>
                <w:color w:val="000000"/>
                <w:sz w:val="22"/>
                <w:szCs w:val="22"/>
                <w:lang w:val="uz-Cyrl-UZ" w:eastAsia="uz-Cyrl-UZ"/>
              </w:rPr>
              <w:t>3</w:t>
            </w:r>
          </w:p>
        </w:tc>
        <w:tc>
          <w:tcPr>
            <w:tcW w:w="5162" w:type="dxa"/>
            <w:tcBorders>
              <w:top w:val="single" w:sz="4" w:space="0" w:color="000001"/>
              <w:left w:val="single" w:sz="4" w:space="0" w:color="000001"/>
              <w:bottom w:val="single" w:sz="4" w:space="0" w:color="000001"/>
              <w:right w:val="single" w:sz="4" w:space="0" w:color="auto"/>
            </w:tcBorders>
            <w:shd w:val="clear" w:color="auto" w:fill="FBE4D5" w:themeFill="accent2" w:themeFillTint="33"/>
            <w:tcMar>
              <w:left w:w="98" w:type="dxa"/>
            </w:tcMar>
            <w:vAlign w:val="center"/>
          </w:tcPr>
          <w:p w14:paraId="6AF50A2B" w14:textId="77777777" w:rsidR="00EB7455" w:rsidRPr="00EB5C9D" w:rsidRDefault="00EB7455" w:rsidP="009B6606">
            <w:pPr>
              <w:widowControl/>
              <w:rPr>
                <w:rFonts w:cs="Times New Roman"/>
                <w:b/>
                <w:bCs/>
                <w:i/>
                <w:iCs/>
                <w:color w:val="000000"/>
                <w:sz w:val="22"/>
                <w:szCs w:val="22"/>
                <w:lang w:val="uz-Cyrl-UZ" w:eastAsia="uz-Cyrl-UZ"/>
              </w:rPr>
            </w:pPr>
            <w:r w:rsidRPr="00EB5C9D">
              <w:rPr>
                <w:rFonts w:cs="Times New Roman"/>
                <w:b/>
                <w:bCs/>
                <w:color w:val="000000"/>
                <w:sz w:val="22"/>
                <w:szCs w:val="22"/>
                <w:lang w:val="uz-Cyrl-UZ" w:eastAsia="uz-Cyrl-UZ"/>
              </w:rPr>
              <w:t xml:space="preserve">Понуда понуђача </w:t>
            </w:r>
            <w:r w:rsidRPr="00EB5C9D">
              <w:rPr>
                <w:rFonts w:cs="Times New Roman"/>
                <w:b/>
                <w:bCs/>
                <w:i/>
                <w:iCs/>
                <w:color w:val="000000"/>
                <w:sz w:val="22"/>
                <w:szCs w:val="22"/>
                <w:lang w:val="uz-Cyrl-UZ" w:eastAsia="uz-Cyrl-UZ"/>
              </w:rPr>
              <w:t>(попунити)</w:t>
            </w:r>
          </w:p>
        </w:tc>
        <w:tc>
          <w:tcPr>
            <w:tcW w:w="312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Mar>
              <w:left w:w="98" w:type="dxa"/>
            </w:tcMar>
            <w:vAlign w:val="center"/>
          </w:tcPr>
          <w:p w14:paraId="29AA3B5A" w14:textId="4147CBCE" w:rsidR="00EB7455" w:rsidRPr="00EB5C9D" w:rsidRDefault="00EB7455" w:rsidP="00EF38F8">
            <w:pPr>
              <w:widowControl/>
              <w:jc w:val="center"/>
              <w:rPr>
                <w:rFonts w:cs="Times New Roman"/>
                <w:color w:val="000000"/>
                <w:sz w:val="22"/>
                <w:szCs w:val="22"/>
                <w:lang w:val="uz-Cyrl-UZ" w:eastAsia="uz-Cyrl-UZ"/>
              </w:rPr>
            </w:pPr>
            <w:r w:rsidRPr="00EB5C9D">
              <w:rPr>
                <w:rFonts w:cs="Times New Roman"/>
                <w:color w:val="000000"/>
                <w:sz w:val="22"/>
                <w:szCs w:val="22"/>
                <w:lang w:val="uz-Cyrl-UZ" w:eastAsia="uz-Cyrl-UZ"/>
              </w:rPr>
              <w:t>(нето</w:t>
            </w:r>
            <w:r>
              <w:rPr>
                <w:rFonts w:cs="Times New Roman"/>
                <w:color w:val="000000"/>
                <w:sz w:val="22"/>
                <w:szCs w:val="22"/>
                <w:lang w:eastAsia="uz-Cyrl-UZ"/>
              </w:rPr>
              <w:t xml:space="preserve"> </w:t>
            </w:r>
            <w:r w:rsidRPr="00EB5C9D">
              <w:rPr>
                <w:rFonts w:cs="Times New Roman"/>
                <w:color w:val="000000"/>
                <w:sz w:val="22"/>
                <w:szCs w:val="22"/>
                <w:lang w:val="uz-Cyrl-UZ" w:eastAsia="uz-Cyrl-UZ"/>
              </w:rPr>
              <w:t>вредност)</w:t>
            </w:r>
          </w:p>
        </w:tc>
      </w:tr>
      <w:tr w:rsidR="00AE3F3C" w:rsidRPr="00EB5C9D" w14:paraId="506C1007" w14:textId="77777777" w:rsidTr="009B6606">
        <w:trPr>
          <w:trHeight w:val="583"/>
        </w:trPr>
        <w:tc>
          <w:tcPr>
            <w:tcW w:w="559"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31172A70" w14:textId="08DE3795" w:rsidR="00AE3F3C" w:rsidRPr="00DE7438" w:rsidRDefault="00EB7455" w:rsidP="009B6606">
            <w:pPr>
              <w:widowControl/>
              <w:jc w:val="center"/>
              <w:rPr>
                <w:rFonts w:cs="Times New Roman"/>
                <w:color w:val="000000"/>
                <w:sz w:val="22"/>
                <w:szCs w:val="22"/>
                <w:lang w:val="uz-Cyrl-UZ" w:eastAsia="uz-Cyrl-UZ"/>
              </w:rPr>
            </w:pPr>
            <w:r w:rsidRPr="00DE7438">
              <w:rPr>
                <w:rFonts w:cs="Times New Roman"/>
                <w:color w:val="000000"/>
                <w:sz w:val="22"/>
                <w:szCs w:val="22"/>
                <w:lang w:val="hr-HR" w:eastAsia="uz-Cyrl-UZ"/>
              </w:rPr>
              <w:t>a</w:t>
            </w:r>
            <w:r w:rsidR="00AE3F3C" w:rsidRPr="00DE7438">
              <w:rPr>
                <w:rFonts w:cs="Times New Roman"/>
                <w:color w:val="000000"/>
                <w:sz w:val="22"/>
                <w:szCs w:val="22"/>
                <w:lang w:val="uz-Cyrl-UZ" w:eastAsia="uz-Cyrl-UZ"/>
              </w:rPr>
              <w:t>)</w:t>
            </w:r>
          </w:p>
        </w:tc>
        <w:tc>
          <w:tcPr>
            <w:tcW w:w="516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3DA10735" w14:textId="010040E1" w:rsidR="00AE3F3C" w:rsidRPr="00DE7438" w:rsidRDefault="00006F48" w:rsidP="009B6606">
            <w:pPr>
              <w:widowControl/>
              <w:rPr>
                <w:rFonts w:cs="Times New Roman"/>
                <w:color w:val="000000"/>
                <w:sz w:val="22"/>
                <w:szCs w:val="22"/>
                <w:u w:val="single"/>
                <w:lang w:val="uz-Cyrl-UZ" w:eastAsia="uz-Cyrl-UZ"/>
              </w:rPr>
            </w:pPr>
            <w:r>
              <w:rPr>
                <w:rFonts w:cs="Times New Roman"/>
                <w:color w:val="000000"/>
                <w:sz w:val="22"/>
                <w:szCs w:val="22"/>
                <w:lang w:val="uz-Cyrl-UZ" w:eastAsia="uz-Cyrl-UZ"/>
              </w:rPr>
              <w:t>Укупан износ концесионе накнад</w:t>
            </w:r>
            <w:r w:rsidR="00AE3F3C" w:rsidRPr="00DE7438">
              <w:rPr>
                <w:rFonts w:cs="Times New Roman"/>
                <w:color w:val="000000"/>
                <w:sz w:val="22"/>
                <w:szCs w:val="22"/>
                <w:lang w:val="uz-Cyrl-UZ" w:eastAsia="uz-Cyrl-UZ"/>
              </w:rPr>
              <w:t xml:space="preserve">е </w:t>
            </w:r>
            <w:r w:rsidR="00DE7438" w:rsidRPr="00DE7438">
              <w:rPr>
                <w:rFonts w:cs="Times New Roman"/>
                <w:color w:val="000000"/>
                <w:sz w:val="22"/>
                <w:szCs w:val="22"/>
                <w:lang w:val="uz-Cyrl-UZ" w:eastAsia="uz-Cyrl-UZ"/>
              </w:rPr>
              <w:t>на годишњем ниову</w:t>
            </w:r>
            <w:r w:rsidR="00581F5F" w:rsidRPr="00DE7438">
              <w:rPr>
                <w:rFonts w:cs="Times New Roman"/>
                <w:color w:val="000000"/>
                <w:sz w:val="22"/>
                <w:szCs w:val="22"/>
                <w:u w:val="single"/>
                <w:lang w:val="uz-Cyrl-UZ" w:eastAsia="uz-Cyrl-UZ"/>
              </w:rPr>
              <w:t xml:space="preserve"> </w:t>
            </w:r>
          </w:p>
          <w:p w14:paraId="60C3CA26" w14:textId="272E0370" w:rsidR="00EF38F8" w:rsidRPr="00DE7438" w:rsidRDefault="00EF38F8" w:rsidP="009B6606">
            <w:pPr>
              <w:widowControl/>
              <w:rPr>
                <w:rFonts w:cs="Times New Roman"/>
                <w:color w:val="000000"/>
                <w:sz w:val="22"/>
                <w:szCs w:val="22"/>
                <w:lang w:val="sr-Cyrl-RS" w:eastAsia="uz-Cyrl-UZ"/>
              </w:rPr>
            </w:pPr>
            <w:r w:rsidRPr="00DE7438">
              <w:rPr>
                <w:rFonts w:cs="Times New Roman"/>
                <w:color w:val="000000"/>
                <w:sz w:val="22"/>
                <w:szCs w:val="22"/>
                <w:lang w:val="uz-Cyrl-UZ" w:eastAsia="uz-Cyrl-UZ"/>
              </w:rPr>
              <w:t xml:space="preserve">(не може бити већа од </w:t>
            </w:r>
            <w:r w:rsidR="00DE7438" w:rsidRPr="00DE7438">
              <w:rPr>
                <w:rFonts w:cs="Times New Roman"/>
                <w:color w:val="000000"/>
                <w:sz w:val="22"/>
                <w:szCs w:val="22"/>
                <w:lang w:val="uz-Cyrl-UZ" w:eastAsia="uz-Cyrl-UZ"/>
              </w:rPr>
              <w:t>1</w:t>
            </w:r>
            <w:r w:rsidR="00006F48">
              <w:rPr>
                <w:rFonts w:cs="Times New Roman"/>
                <w:color w:val="000000"/>
                <w:sz w:val="22"/>
                <w:szCs w:val="22"/>
                <w:lang w:val="uz-Cyrl-UZ" w:eastAsia="uz-Cyrl-UZ"/>
              </w:rPr>
              <w:t>0</w:t>
            </w:r>
            <w:r w:rsidR="00DE7438" w:rsidRPr="00DE7438">
              <w:rPr>
                <w:rFonts w:cs="Times New Roman"/>
                <w:color w:val="000000"/>
                <w:sz w:val="22"/>
                <w:szCs w:val="22"/>
                <w:lang w:val="uz-Cyrl-UZ" w:eastAsia="uz-Cyrl-UZ"/>
              </w:rPr>
              <w:t>.000.000,00</w:t>
            </w:r>
            <w:r w:rsidR="00D977FB" w:rsidRPr="00DE7438">
              <w:rPr>
                <w:rFonts w:cs="Times New Roman"/>
                <w:color w:val="000000"/>
                <w:sz w:val="22"/>
                <w:szCs w:val="22"/>
                <w:lang w:val="uz-Cyrl-UZ" w:eastAsia="uz-Cyrl-UZ"/>
              </w:rPr>
              <w:t xml:space="preserve"> РСД</w:t>
            </w:r>
            <w:r w:rsidR="00EB7455" w:rsidRPr="00DE7438">
              <w:rPr>
                <w:rFonts w:cs="Times New Roman"/>
                <w:color w:val="000000"/>
                <w:sz w:val="22"/>
                <w:szCs w:val="22"/>
                <w:lang w:val="uz-Cyrl-UZ" w:eastAsia="uz-Cyrl-UZ"/>
              </w:rPr>
              <w:t xml:space="preserve"> без ПДВ-а</w:t>
            </w:r>
            <w:r w:rsidRPr="00DE7438">
              <w:rPr>
                <w:rFonts w:cs="Times New Roman"/>
                <w:color w:val="000000"/>
                <w:sz w:val="22"/>
                <w:szCs w:val="22"/>
                <w:lang w:val="uz-Cyrl-UZ" w:eastAsia="uz-Cyrl-UZ"/>
              </w:rPr>
              <w:t>)</w:t>
            </w:r>
          </w:p>
        </w:tc>
        <w:tc>
          <w:tcPr>
            <w:tcW w:w="140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22F0E3D" w14:textId="77777777" w:rsidR="00AE3F3C" w:rsidRPr="00DE7438" w:rsidRDefault="00AE3F3C" w:rsidP="009B6606">
            <w:pPr>
              <w:widowControl/>
              <w:jc w:val="center"/>
              <w:rPr>
                <w:rFonts w:cs="Times New Roman"/>
                <w:color w:val="000000"/>
                <w:sz w:val="22"/>
                <w:szCs w:val="22"/>
                <w:lang w:val="uz-Cyrl-UZ" w:eastAsia="uz-Cyrl-UZ"/>
              </w:rPr>
            </w:pPr>
          </w:p>
          <w:p w14:paraId="72420C5B" w14:textId="77777777" w:rsidR="00AE3F3C" w:rsidRPr="00DE7438" w:rsidRDefault="00AE3F3C" w:rsidP="009B6606">
            <w:pPr>
              <w:widowControl/>
              <w:jc w:val="center"/>
              <w:rPr>
                <w:rFonts w:cs="Times New Roman"/>
                <w:color w:val="000000"/>
                <w:sz w:val="22"/>
                <w:szCs w:val="22"/>
                <w:lang w:val="uz-Cyrl-UZ" w:eastAsia="uz-Cyrl-UZ"/>
              </w:rPr>
            </w:pPr>
            <w:r w:rsidRPr="00DE7438">
              <w:rPr>
                <w:rFonts w:cs="Times New Roman"/>
                <w:color w:val="000000"/>
                <w:sz w:val="22"/>
                <w:szCs w:val="22"/>
                <w:lang w:val="uz-Cyrl-UZ" w:eastAsia="uz-Cyrl-UZ"/>
              </w:rPr>
              <w:t>РСД</w:t>
            </w:r>
          </w:p>
        </w:tc>
        <w:tc>
          <w:tcPr>
            <w:tcW w:w="172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98" w:type="dxa"/>
            </w:tcMar>
            <w:vAlign w:val="center"/>
          </w:tcPr>
          <w:p w14:paraId="6AE0E2DC" w14:textId="072DB996" w:rsidR="00AE3F3C" w:rsidRPr="00DE7438" w:rsidRDefault="00AE3F3C" w:rsidP="00EF38F8">
            <w:pPr>
              <w:widowControl/>
              <w:jc w:val="center"/>
              <w:rPr>
                <w:rFonts w:cs="Times New Roman"/>
                <w:color w:val="000000"/>
                <w:sz w:val="22"/>
                <w:szCs w:val="22"/>
                <w:lang w:val="uz-Cyrl-UZ" w:eastAsia="uz-Cyrl-UZ"/>
              </w:rPr>
            </w:pPr>
          </w:p>
        </w:tc>
      </w:tr>
      <w:tr w:rsidR="00CD499B" w:rsidRPr="00EB5C9D" w14:paraId="59E04DF8" w14:textId="77777777" w:rsidTr="009B6606">
        <w:trPr>
          <w:trHeight w:val="583"/>
        </w:trPr>
        <w:tc>
          <w:tcPr>
            <w:tcW w:w="559"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2B0BA94" w14:textId="7712F04C" w:rsidR="00CD499B" w:rsidRPr="00CD499B" w:rsidRDefault="00CD499B" w:rsidP="009B6606">
            <w:pPr>
              <w:widowControl/>
              <w:jc w:val="center"/>
              <w:rPr>
                <w:rFonts w:cs="Times New Roman"/>
                <w:color w:val="000000"/>
                <w:sz w:val="22"/>
                <w:szCs w:val="22"/>
                <w:lang w:val="sr-Cyrl-RS" w:eastAsia="uz-Cyrl-UZ"/>
              </w:rPr>
            </w:pPr>
            <w:r>
              <w:rPr>
                <w:rFonts w:cs="Times New Roman"/>
                <w:color w:val="000000"/>
                <w:sz w:val="22"/>
                <w:szCs w:val="22"/>
                <w:lang w:val="sr-Cyrl-RS" w:eastAsia="uz-Cyrl-UZ"/>
              </w:rPr>
              <w:t>б)</w:t>
            </w:r>
          </w:p>
        </w:tc>
        <w:tc>
          <w:tcPr>
            <w:tcW w:w="516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349E808" w14:textId="2C9A14FF" w:rsidR="00CD499B" w:rsidRPr="00DE7438" w:rsidRDefault="00CD499B" w:rsidP="00CD499B">
            <w:pPr>
              <w:widowControl/>
              <w:rPr>
                <w:rFonts w:cs="Times New Roman"/>
                <w:color w:val="000000"/>
                <w:sz w:val="22"/>
                <w:szCs w:val="22"/>
                <w:u w:val="single"/>
                <w:lang w:val="uz-Cyrl-UZ" w:eastAsia="uz-Cyrl-UZ"/>
              </w:rPr>
            </w:pPr>
            <w:r>
              <w:rPr>
                <w:rFonts w:cs="Times New Roman"/>
                <w:color w:val="000000"/>
                <w:sz w:val="22"/>
                <w:szCs w:val="22"/>
                <w:lang w:val="uz-Cyrl-UZ" w:eastAsia="uz-Cyrl-UZ"/>
              </w:rPr>
              <w:t>Укупан износ концесионе накнад</w:t>
            </w:r>
            <w:r w:rsidRPr="00DE7438">
              <w:rPr>
                <w:rFonts w:cs="Times New Roman"/>
                <w:color w:val="000000"/>
                <w:sz w:val="22"/>
                <w:szCs w:val="22"/>
                <w:lang w:val="uz-Cyrl-UZ" w:eastAsia="uz-Cyrl-UZ"/>
              </w:rPr>
              <w:t xml:space="preserve">е </w:t>
            </w:r>
            <w:r>
              <w:rPr>
                <w:rFonts w:cs="Times New Roman"/>
                <w:color w:val="000000"/>
                <w:sz w:val="22"/>
                <w:szCs w:val="22"/>
                <w:lang w:val="uz-Cyrl-UZ" w:eastAsia="uz-Cyrl-UZ"/>
              </w:rPr>
              <w:t>за цео период трајања уговора 2*3а)</w:t>
            </w:r>
          </w:p>
          <w:p w14:paraId="30F29D6D" w14:textId="78A2C1DD" w:rsidR="00CD499B" w:rsidRDefault="00CD499B" w:rsidP="00CD499B">
            <w:pPr>
              <w:widowControl/>
              <w:rPr>
                <w:rFonts w:cs="Times New Roman"/>
                <w:color w:val="000000"/>
                <w:sz w:val="22"/>
                <w:szCs w:val="22"/>
                <w:lang w:val="uz-Cyrl-UZ" w:eastAsia="uz-Cyrl-UZ"/>
              </w:rPr>
            </w:pPr>
            <w:r w:rsidRPr="00DE7438">
              <w:rPr>
                <w:rFonts w:cs="Times New Roman"/>
                <w:color w:val="000000"/>
                <w:sz w:val="22"/>
                <w:szCs w:val="22"/>
                <w:lang w:val="uz-Cyrl-UZ" w:eastAsia="uz-Cyrl-UZ"/>
              </w:rPr>
              <w:t xml:space="preserve">(не може бити већа од </w:t>
            </w:r>
            <w:r w:rsidR="00D91682" w:rsidRPr="009D1856">
              <w:rPr>
                <w:rFonts w:cs="Times New Roman"/>
                <w:color w:val="000000"/>
                <w:sz w:val="22"/>
                <w:szCs w:val="22"/>
                <w:lang w:val="uz-Cyrl-UZ" w:eastAsia="uz-Cyrl-UZ"/>
              </w:rPr>
              <w:t>2</w:t>
            </w:r>
            <w:r>
              <w:rPr>
                <w:rFonts w:cs="Times New Roman"/>
                <w:color w:val="000000"/>
                <w:sz w:val="22"/>
                <w:szCs w:val="22"/>
                <w:lang w:val="uz-Cyrl-UZ" w:eastAsia="uz-Cyrl-UZ"/>
              </w:rPr>
              <w:t>00</w:t>
            </w:r>
            <w:r w:rsidRPr="00DE7438">
              <w:rPr>
                <w:rFonts w:cs="Times New Roman"/>
                <w:color w:val="000000"/>
                <w:sz w:val="22"/>
                <w:szCs w:val="22"/>
                <w:lang w:val="uz-Cyrl-UZ" w:eastAsia="uz-Cyrl-UZ"/>
              </w:rPr>
              <w:t>.000.000,00 РСД без ПДВ-а)</w:t>
            </w:r>
          </w:p>
        </w:tc>
        <w:tc>
          <w:tcPr>
            <w:tcW w:w="140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68E3A62" w14:textId="0083B479" w:rsidR="00CD499B" w:rsidRPr="00DE7438" w:rsidRDefault="00CD499B" w:rsidP="009B6606">
            <w:pPr>
              <w:widowControl/>
              <w:jc w:val="center"/>
              <w:rPr>
                <w:rFonts w:cs="Times New Roman"/>
                <w:color w:val="000000"/>
                <w:sz w:val="22"/>
                <w:szCs w:val="22"/>
                <w:lang w:val="uz-Cyrl-UZ" w:eastAsia="uz-Cyrl-UZ"/>
              </w:rPr>
            </w:pPr>
            <w:r w:rsidRPr="00DE7438">
              <w:rPr>
                <w:rFonts w:cs="Times New Roman"/>
                <w:color w:val="000000"/>
                <w:sz w:val="22"/>
                <w:szCs w:val="22"/>
                <w:lang w:val="uz-Cyrl-UZ" w:eastAsia="uz-Cyrl-UZ"/>
              </w:rPr>
              <w:t>РСД</w:t>
            </w:r>
          </w:p>
        </w:tc>
        <w:tc>
          <w:tcPr>
            <w:tcW w:w="172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98" w:type="dxa"/>
            </w:tcMar>
            <w:vAlign w:val="center"/>
          </w:tcPr>
          <w:p w14:paraId="7962AEFE" w14:textId="77777777" w:rsidR="00CD499B" w:rsidRPr="00DE7438" w:rsidRDefault="00CD499B" w:rsidP="00EF38F8">
            <w:pPr>
              <w:widowControl/>
              <w:jc w:val="center"/>
              <w:rPr>
                <w:rFonts w:cs="Times New Roman"/>
                <w:color w:val="000000"/>
                <w:sz w:val="22"/>
                <w:szCs w:val="22"/>
                <w:lang w:val="uz-Cyrl-UZ" w:eastAsia="uz-Cyrl-UZ"/>
              </w:rPr>
            </w:pPr>
          </w:p>
        </w:tc>
        <w:bookmarkStart w:id="0" w:name="_GoBack"/>
        <w:bookmarkEnd w:id="0"/>
      </w:tr>
    </w:tbl>
    <w:p w14:paraId="7547DAA8" w14:textId="77777777" w:rsidR="00AE3F3C" w:rsidRDefault="00AE3F3C" w:rsidP="00AE3F3C">
      <w:pPr>
        <w:pStyle w:val="Standard"/>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rPr>
          <w:b/>
          <w:sz w:val="22"/>
          <w:szCs w:val="22"/>
          <w:lang w:val="sr-Cyrl-RS"/>
        </w:rPr>
      </w:pPr>
    </w:p>
    <w:p w14:paraId="609C44EF" w14:textId="4711FE96" w:rsidR="00AE3F3C" w:rsidRDefault="00AE3F3C" w:rsidP="00AE3F3C">
      <w:pPr>
        <w:pStyle w:val="Standard"/>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rPr>
          <w:b/>
          <w:sz w:val="22"/>
          <w:szCs w:val="22"/>
          <w:lang w:val="sr-Cyrl-RS"/>
        </w:rPr>
      </w:pPr>
      <w:r>
        <w:rPr>
          <w:b/>
          <w:sz w:val="22"/>
          <w:szCs w:val="22"/>
          <w:lang w:val="sr-Cyrl-RS"/>
        </w:rPr>
        <w:t>Упутство за попуњавање цене:</w:t>
      </w:r>
    </w:p>
    <w:p w14:paraId="660D5FDC" w14:textId="77777777" w:rsidR="00AE3F3C" w:rsidRDefault="00AE3F3C" w:rsidP="00EB7455">
      <w:pPr>
        <w:pStyle w:val="Standard"/>
        <w:numPr>
          <w:ilvl w:val="0"/>
          <w:numId w:val="1"/>
        </w:numPr>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jc w:val="both"/>
        <w:rPr>
          <w:bCs/>
          <w:sz w:val="22"/>
          <w:szCs w:val="22"/>
          <w:lang w:val="sr-Cyrl-RS"/>
        </w:rPr>
      </w:pPr>
      <w:r w:rsidRPr="007659A9">
        <w:rPr>
          <w:bCs/>
          <w:sz w:val="22"/>
          <w:szCs w:val="22"/>
          <w:lang w:val="sr-Cyrl-RS"/>
        </w:rPr>
        <w:t>У поље 1. уписати рок важења понуде који не може бити краћи од 60 дана од дана отварања понуда;</w:t>
      </w:r>
    </w:p>
    <w:p w14:paraId="050631E1" w14:textId="3792E780" w:rsidR="00DE7438" w:rsidRDefault="00DE7438" w:rsidP="00DE7438">
      <w:pPr>
        <w:pStyle w:val="Standard"/>
        <w:numPr>
          <w:ilvl w:val="0"/>
          <w:numId w:val="1"/>
        </w:numPr>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jc w:val="both"/>
        <w:rPr>
          <w:rFonts w:cs="Times New Roman"/>
          <w:bCs/>
          <w:color w:val="000000"/>
          <w:sz w:val="22"/>
          <w:szCs w:val="22"/>
          <w:lang w:val="uz-Cyrl-UZ" w:eastAsia="uz-Cyrl-UZ"/>
        </w:rPr>
      </w:pPr>
      <w:r w:rsidRPr="00DE7438">
        <w:rPr>
          <w:bCs/>
          <w:sz w:val="22"/>
          <w:szCs w:val="22"/>
          <w:lang w:val="sr-Cyrl-RS"/>
        </w:rPr>
        <w:t xml:space="preserve">У поље 3а) уписати </w:t>
      </w:r>
      <w:r w:rsidR="00006F48">
        <w:rPr>
          <w:bCs/>
          <w:sz w:val="22"/>
          <w:szCs w:val="22"/>
          <w:lang w:val="sr-Cyrl-RS"/>
        </w:rPr>
        <w:t>у</w:t>
      </w:r>
      <w:r w:rsidR="00006F48" w:rsidRPr="00006F48">
        <w:rPr>
          <w:bCs/>
          <w:sz w:val="22"/>
          <w:szCs w:val="22"/>
          <w:lang w:val="sr-Cyrl-RS"/>
        </w:rPr>
        <w:t xml:space="preserve">купан износ концесионе накнаде на годишњем ниову </w:t>
      </w:r>
      <w:r w:rsidRPr="00DE7438">
        <w:rPr>
          <w:rFonts w:cs="Times New Roman"/>
          <w:bCs/>
          <w:color w:val="000000"/>
          <w:sz w:val="22"/>
          <w:szCs w:val="22"/>
          <w:lang w:val="uz-Cyrl-UZ" w:eastAsia="uz-Cyrl-UZ"/>
        </w:rPr>
        <w:t xml:space="preserve"> (не може бити већа од 1</w:t>
      </w:r>
      <w:r w:rsidR="00006F48">
        <w:rPr>
          <w:rFonts w:cs="Times New Roman"/>
          <w:bCs/>
          <w:color w:val="000000"/>
          <w:sz w:val="22"/>
          <w:szCs w:val="22"/>
          <w:lang w:val="uz-Cyrl-UZ" w:eastAsia="uz-Cyrl-UZ"/>
        </w:rPr>
        <w:t>0</w:t>
      </w:r>
      <w:r w:rsidRPr="00DE7438">
        <w:rPr>
          <w:rFonts w:cs="Times New Roman"/>
          <w:bCs/>
          <w:color w:val="000000"/>
          <w:sz w:val="22"/>
          <w:szCs w:val="22"/>
          <w:lang w:val="uz-Cyrl-UZ" w:eastAsia="uz-Cyrl-UZ"/>
        </w:rPr>
        <w:t>.000.000,00 РСД без ПДВ-а)</w:t>
      </w:r>
      <w:r w:rsidR="00CD499B">
        <w:rPr>
          <w:rFonts w:cs="Times New Roman"/>
          <w:bCs/>
          <w:color w:val="000000"/>
          <w:sz w:val="22"/>
          <w:szCs w:val="22"/>
          <w:lang w:val="uz-Cyrl-UZ" w:eastAsia="uz-Cyrl-UZ"/>
        </w:rPr>
        <w:t>;</w:t>
      </w:r>
    </w:p>
    <w:p w14:paraId="28F154BA" w14:textId="16F439D8" w:rsidR="00CD499B" w:rsidRDefault="00CD499B" w:rsidP="00CD499B">
      <w:pPr>
        <w:pStyle w:val="Standard"/>
        <w:numPr>
          <w:ilvl w:val="0"/>
          <w:numId w:val="1"/>
        </w:numPr>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jc w:val="both"/>
        <w:rPr>
          <w:rFonts w:cs="Times New Roman"/>
          <w:bCs/>
          <w:color w:val="000000"/>
          <w:sz w:val="22"/>
          <w:szCs w:val="22"/>
          <w:lang w:val="uz-Cyrl-UZ" w:eastAsia="uz-Cyrl-UZ"/>
        </w:rPr>
      </w:pPr>
      <w:r w:rsidRPr="00DE7438">
        <w:rPr>
          <w:bCs/>
          <w:sz w:val="22"/>
          <w:szCs w:val="22"/>
          <w:lang w:val="sr-Cyrl-RS"/>
        </w:rPr>
        <w:t>У поље 3</w:t>
      </w:r>
      <w:r>
        <w:rPr>
          <w:bCs/>
          <w:sz w:val="22"/>
          <w:szCs w:val="22"/>
          <w:lang w:val="sr-Cyrl-RS"/>
        </w:rPr>
        <w:t>б</w:t>
      </w:r>
      <w:r w:rsidRPr="00DE7438">
        <w:rPr>
          <w:bCs/>
          <w:sz w:val="22"/>
          <w:szCs w:val="22"/>
          <w:lang w:val="sr-Cyrl-RS"/>
        </w:rPr>
        <w:t xml:space="preserve">) уписати </w:t>
      </w:r>
      <w:r>
        <w:rPr>
          <w:bCs/>
          <w:sz w:val="22"/>
          <w:szCs w:val="22"/>
          <w:lang w:val="sr-Cyrl-RS"/>
        </w:rPr>
        <w:t>у</w:t>
      </w:r>
      <w:r w:rsidRPr="00006F48">
        <w:rPr>
          <w:bCs/>
          <w:sz w:val="22"/>
          <w:szCs w:val="22"/>
          <w:lang w:val="sr-Cyrl-RS"/>
        </w:rPr>
        <w:t xml:space="preserve">купан износ концесионе накнаде </w:t>
      </w:r>
      <w:r>
        <w:rPr>
          <w:rFonts w:cs="Times New Roman"/>
          <w:color w:val="000000"/>
          <w:sz w:val="22"/>
          <w:szCs w:val="22"/>
          <w:lang w:val="uz-Cyrl-UZ" w:eastAsia="uz-Cyrl-UZ"/>
        </w:rPr>
        <w:t>за цео период трајања уговора</w:t>
      </w:r>
      <w:r w:rsidRPr="00DE7438">
        <w:rPr>
          <w:rFonts w:cs="Times New Roman"/>
          <w:bCs/>
          <w:color w:val="000000"/>
          <w:sz w:val="22"/>
          <w:szCs w:val="22"/>
          <w:lang w:val="uz-Cyrl-UZ" w:eastAsia="uz-Cyrl-UZ"/>
        </w:rPr>
        <w:t xml:space="preserve"> (не може бити већа од </w:t>
      </w:r>
      <w:r w:rsidR="00D91682">
        <w:rPr>
          <w:rFonts w:cs="Times New Roman"/>
          <w:bCs/>
          <w:color w:val="000000"/>
          <w:sz w:val="22"/>
          <w:szCs w:val="22"/>
          <w:lang w:val="en-GB" w:eastAsia="uz-Cyrl-UZ"/>
        </w:rPr>
        <w:t>2</w:t>
      </w:r>
      <w:r>
        <w:rPr>
          <w:rFonts w:cs="Times New Roman"/>
          <w:bCs/>
          <w:color w:val="000000"/>
          <w:sz w:val="22"/>
          <w:szCs w:val="22"/>
          <w:lang w:val="uz-Cyrl-UZ" w:eastAsia="uz-Cyrl-UZ"/>
        </w:rPr>
        <w:t>00</w:t>
      </w:r>
      <w:r w:rsidRPr="00DE7438">
        <w:rPr>
          <w:rFonts w:cs="Times New Roman"/>
          <w:bCs/>
          <w:color w:val="000000"/>
          <w:sz w:val="22"/>
          <w:szCs w:val="22"/>
          <w:lang w:val="uz-Cyrl-UZ" w:eastAsia="uz-Cyrl-UZ"/>
        </w:rPr>
        <w:t>.000.000,00 РСД без ПДВ-а)</w:t>
      </w:r>
      <w:r>
        <w:rPr>
          <w:rFonts w:cs="Times New Roman"/>
          <w:bCs/>
          <w:color w:val="000000"/>
          <w:sz w:val="22"/>
          <w:szCs w:val="22"/>
          <w:lang w:val="uz-Cyrl-UZ" w:eastAsia="uz-Cyrl-UZ"/>
        </w:rPr>
        <w:t>.</w:t>
      </w:r>
    </w:p>
    <w:p w14:paraId="0780A004" w14:textId="77777777" w:rsidR="00AE3F3C" w:rsidRPr="007659A9" w:rsidRDefault="00AE3F3C" w:rsidP="00AE3F3C">
      <w:pPr>
        <w:pStyle w:val="Standard"/>
        <w:tabs>
          <w:tab w:val="left" w:pos="708"/>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after="120"/>
        <w:jc w:val="both"/>
        <w:rPr>
          <w:bCs/>
          <w:sz w:val="22"/>
          <w:szCs w:val="22"/>
          <w:lang w:val="sr-Cyrl-RS"/>
        </w:rPr>
      </w:pPr>
    </w:p>
    <w:tbl>
      <w:tblPr>
        <w:tblW w:w="9921" w:type="dxa"/>
        <w:jc w:val="center"/>
        <w:tblLayout w:type="fixed"/>
        <w:tblCellMar>
          <w:left w:w="10" w:type="dxa"/>
          <w:right w:w="10" w:type="dxa"/>
        </w:tblCellMar>
        <w:tblLook w:val="04A0" w:firstRow="1" w:lastRow="0" w:firstColumn="1" w:lastColumn="0" w:noHBand="0" w:noVBand="1"/>
      </w:tblPr>
      <w:tblGrid>
        <w:gridCol w:w="4036"/>
        <w:gridCol w:w="5885"/>
      </w:tblGrid>
      <w:tr w:rsidR="00AE3F3C" w:rsidRPr="00A93719" w14:paraId="4A3E6B56" w14:textId="77777777" w:rsidTr="009B6606">
        <w:trPr>
          <w:trHeight w:val="1601"/>
          <w:jc w:val="center"/>
        </w:trPr>
        <w:tc>
          <w:tcPr>
            <w:tcW w:w="403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14:paraId="6C876A4E"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r w:rsidRPr="00A93719">
              <w:rPr>
                <w:sz w:val="22"/>
                <w:szCs w:val="22"/>
              </w:rPr>
              <w:t>Датум и место</w:t>
            </w:r>
          </w:p>
          <w:p w14:paraId="22061CA9"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p>
          <w:p w14:paraId="5F864FA4"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r w:rsidRPr="00A93719">
              <w:rPr>
                <w:sz w:val="22"/>
                <w:szCs w:val="22"/>
              </w:rPr>
              <w:t xml:space="preserve">________________________________                </w:t>
            </w:r>
          </w:p>
        </w:tc>
        <w:tc>
          <w:tcPr>
            <w:tcW w:w="588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14:paraId="3EAA3506"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r w:rsidRPr="00A93719">
              <w:rPr>
                <w:sz w:val="22"/>
                <w:szCs w:val="22"/>
              </w:rPr>
              <w:t>Име, презиме и потпис одговорног лица понуђача</w:t>
            </w:r>
          </w:p>
          <w:p w14:paraId="22C0F6FB"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p>
          <w:p w14:paraId="5FCFBFD1" w14:textId="77777777" w:rsidR="00AE3F3C"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r w:rsidRPr="00A93719">
              <w:rPr>
                <w:sz w:val="22"/>
                <w:szCs w:val="22"/>
              </w:rPr>
              <w:t>______________________________________</w:t>
            </w:r>
          </w:p>
          <w:p w14:paraId="3FFE9D73"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p>
          <w:p w14:paraId="25EB2D87" w14:textId="77777777" w:rsidR="00AE3F3C" w:rsidRPr="00A93719" w:rsidRDefault="00AE3F3C" w:rsidP="009B6606">
            <w:pPr>
              <w:pStyle w:val="Standard"/>
              <w:tabs>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 w:val="left" w:pos="9924"/>
              </w:tabs>
              <w:jc w:val="center"/>
              <w:rPr>
                <w:sz w:val="22"/>
                <w:szCs w:val="22"/>
              </w:rPr>
            </w:pPr>
            <w:r w:rsidRPr="00A93719">
              <w:rPr>
                <w:sz w:val="22"/>
                <w:szCs w:val="22"/>
              </w:rPr>
              <w:t>______________________________________</w:t>
            </w:r>
          </w:p>
        </w:tc>
      </w:tr>
    </w:tbl>
    <w:p w14:paraId="783C9D09" w14:textId="77777777" w:rsidR="00AE3F3C" w:rsidRDefault="00AE3F3C" w:rsidP="00AE3F3C">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rPr>
          <w:b/>
          <w:i/>
          <w:sz w:val="22"/>
          <w:szCs w:val="22"/>
          <w:u w:val="single"/>
        </w:rPr>
      </w:pPr>
    </w:p>
    <w:p w14:paraId="302277A6" w14:textId="55C9CFF5" w:rsidR="00CA77E1" w:rsidRPr="00C947A1" w:rsidRDefault="00AE3F3C" w:rsidP="00EB7455">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rPr>
          <w:i/>
          <w:sz w:val="22"/>
          <w:szCs w:val="22"/>
          <w:lang w:val="sr-Cyrl-RS"/>
        </w:rPr>
      </w:pPr>
      <w:r w:rsidRPr="00A93719">
        <w:rPr>
          <w:b/>
          <w:i/>
          <w:sz w:val="22"/>
          <w:szCs w:val="22"/>
          <w:u w:val="single"/>
        </w:rPr>
        <w:t>Напомене:</w:t>
      </w:r>
      <w:r w:rsidR="001545A2">
        <w:rPr>
          <w:b/>
          <w:i/>
          <w:sz w:val="22"/>
          <w:szCs w:val="22"/>
          <w:u w:val="single"/>
        </w:rPr>
        <w:t xml:space="preserve">  </w:t>
      </w:r>
      <w:r w:rsidRPr="00A93719">
        <w:rPr>
          <w:i/>
          <w:sz w:val="22"/>
          <w:szCs w:val="22"/>
        </w:rPr>
        <w:t xml:space="preserve">Образац </w:t>
      </w:r>
      <w:r w:rsidR="001545A2" w:rsidRPr="00C947A1">
        <w:rPr>
          <w:i/>
          <w:sz w:val="22"/>
          <w:szCs w:val="22"/>
          <w:lang w:val="sr-Cyrl-RS"/>
        </w:rPr>
        <w:t>структуре понуђене цене</w:t>
      </w:r>
      <w:r w:rsidR="001545A2">
        <w:rPr>
          <w:i/>
          <w:sz w:val="22"/>
          <w:szCs w:val="22"/>
          <w:lang w:val="sr-Cyrl-RS"/>
        </w:rPr>
        <w:t xml:space="preserve"> </w:t>
      </w:r>
      <w:r w:rsidRPr="00A93719">
        <w:rPr>
          <w:i/>
          <w:sz w:val="22"/>
          <w:szCs w:val="22"/>
        </w:rPr>
        <w:t xml:space="preserve">Понуђач мора да попуни и потпише, чиме потврђује да су тачни подаци који су у обрасцу основних елемената понуде наведени. Уколико понуђачи подносе заједничку понуду, група понуђача може да се определи да образац основних елемената понуде потписују сви понуђачи из групе понуђача или група понуђача може да одреди једног понуђача из групе који ће попунити, </w:t>
      </w:r>
      <w:r w:rsidR="001545A2">
        <w:rPr>
          <w:i/>
          <w:sz w:val="22"/>
          <w:szCs w:val="22"/>
          <w:lang w:val="sr-Cyrl-RS"/>
        </w:rPr>
        <w:t>образац.</w:t>
      </w:r>
      <w:r w:rsidR="00C947A1">
        <w:rPr>
          <w:i/>
          <w:sz w:val="22"/>
          <w:szCs w:val="22"/>
          <w:lang w:val="sr-Cyrl-RS"/>
        </w:rPr>
        <w:t>Печат није обавезан.</w:t>
      </w:r>
    </w:p>
    <w:p w14:paraId="6F41143E" w14:textId="57EDED7B" w:rsidR="006D13A3" w:rsidRPr="00CA77E1" w:rsidRDefault="006D13A3" w:rsidP="00EB7455">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120"/>
        <w:jc w:val="both"/>
        <w:rPr>
          <w:i/>
          <w:sz w:val="22"/>
          <w:szCs w:val="22"/>
          <w:lang w:val="sr-Cyrl-RS"/>
        </w:rPr>
      </w:pPr>
    </w:p>
    <w:sectPr w:rsidR="006D13A3" w:rsidRPr="00CA77E1">
      <w:pgSz w:w="11906"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70799B"/>
    <w:multiLevelType w:val="hybridMultilevel"/>
    <w:tmpl w:val="7AB6FDFC"/>
    <w:lvl w:ilvl="0" w:tplc="4322E994">
      <w:start w:val="31"/>
      <w:numFmt w:val="bullet"/>
      <w:lvlText w:val=""/>
      <w:lvlJc w:val="left"/>
      <w:pPr>
        <w:ind w:left="720" w:hanging="360"/>
      </w:pPr>
      <w:rPr>
        <w:rFonts w:ascii="Symbol" w:eastAsia="SimSun" w:hAnsi="Symbo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AF4"/>
    <w:rsid w:val="00006F48"/>
    <w:rsid w:val="000D5CB8"/>
    <w:rsid w:val="001545A2"/>
    <w:rsid w:val="001C5D46"/>
    <w:rsid w:val="004A6294"/>
    <w:rsid w:val="00541550"/>
    <w:rsid w:val="00556601"/>
    <w:rsid w:val="00563BA3"/>
    <w:rsid w:val="00581F5F"/>
    <w:rsid w:val="006D13A3"/>
    <w:rsid w:val="00834AF4"/>
    <w:rsid w:val="00880A97"/>
    <w:rsid w:val="009D1856"/>
    <w:rsid w:val="00AE3F3C"/>
    <w:rsid w:val="00C947A1"/>
    <w:rsid w:val="00CA77E1"/>
    <w:rsid w:val="00CB199D"/>
    <w:rsid w:val="00CD499B"/>
    <w:rsid w:val="00D36DAB"/>
    <w:rsid w:val="00D80EB2"/>
    <w:rsid w:val="00D91682"/>
    <w:rsid w:val="00D977FB"/>
    <w:rsid w:val="00DE7438"/>
    <w:rsid w:val="00E5766C"/>
    <w:rsid w:val="00E64B9A"/>
    <w:rsid w:val="00EB7455"/>
    <w:rsid w:val="00EF38F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8B1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F3C"/>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AE3F3C"/>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customStyle="1" w:styleId="BodyTextChar">
    <w:name w:val="Body Text Char"/>
    <w:basedOn w:val="DefaultParagraphFont"/>
    <w:link w:val="TextBody"/>
    <w:uiPriority w:val="99"/>
    <w:qFormat/>
    <w:rsid w:val="00AE3F3C"/>
    <w:rPr>
      <w:rFonts w:eastAsia="Times New Roman" w:cs="Times New Roman"/>
    </w:rPr>
  </w:style>
  <w:style w:type="paragraph" w:customStyle="1" w:styleId="TextBody">
    <w:name w:val="Text Body"/>
    <w:basedOn w:val="Normal"/>
    <w:link w:val="BodyTextChar"/>
    <w:uiPriority w:val="99"/>
    <w:qFormat/>
    <w:rsid w:val="00AE3F3C"/>
    <w:pPr>
      <w:suppressAutoHyphens w:val="0"/>
      <w:autoSpaceDN/>
      <w:jc w:val="both"/>
      <w:textAlignment w:val="auto"/>
    </w:pPr>
    <w:rPr>
      <w:rFonts w:asciiTheme="minorHAnsi" w:eastAsia="Times New Roman" w:hAnsiTheme="minorHAnsi" w:cs="Times New Roman"/>
      <w:kern w:val="0"/>
      <w:sz w:val="22"/>
      <w:szCs w:val="22"/>
      <w:lang w:eastAsia="en-US" w:bidi="ar-SA"/>
    </w:rPr>
  </w:style>
  <w:style w:type="paragraph" w:styleId="Revision">
    <w:name w:val="Revision"/>
    <w:hidden/>
    <w:uiPriority w:val="99"/>
    <w:semiHidden/>
    <w:rsid w:val="00D91682"/>
    <w:pPr>
      <w:spacing w:after="0" w:line="240" w:lineRule="auto"/>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2023-08-30T06:56:00Z</dcterms:created>
  <dcterms:modified xsi:type="dcterms:W3CDTF">2024-03-07T11:56:00Z</dcterms:modified>
</cp:coreProperties>
</file>